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4A6D56" w14:textId="77777777" w:rsidR="0048567D" w:rsidRDefault="00AA1FA7">
      <w:pPr>
        <w:jc w:val="center"/>
        <w:rPr>
          <w:rFonts w:ascii="Amasis MT Pro" w:eastAsia="Amasis MT Pro" w:hAnsi="Amasis MT Pro" w:cs="Amasis MT Pro"/>
          <w:sz w:val="28"/>
          <w:szCs w:val="28"/>
        </w:rPr>
      </w:pPr>
      <w:r>
        <w:rPr>
          <w:rFonts w:ascii="Amasis MT Pro" w:eastAsia="Amasis MT Pro" w:hAnsi="Amasis MT Pro" w:cs="Amasis MT Pro"/>
          <w:sz w:val="28"/>
          <w:szCs w:val="28"/>
        </w:rPr>
        <w:t>Collections Management Policy</w:t>
      </w:r>
    </w:p>
    <w:p w14:paraId="23516A9D" w14:textId="77777777" w:rsidR="0048567D" w:rsidRDefault="0048567D">
      <w:pPr>
        <w:jc w:val="center"/>
        <w:rPr>
          <w:rFonts w:ascii="Amasis MT Pro" w:eastAsia="Amasis MT Pro" w:hAnsi="Amasis MT Pro" w:cs="Amasis MT Pro"/>
          <w:sz w:val="28"/>
          <w:szCs w:val="28"/>
        </w:rPr>
      </w:pPr>
    </w:p>
    <w:p w14:paraId="0573D1DF" w14:textId="77777777" w:rsidR="0048567D" w:rsidRDefault="00AA1FA7">
      <w:pPr>
        <w:pStyle w:val="Subtitle"/>
      </w:pPr>
      <w:r>
        <w:t>Contents</w:t>
      </w:r>
    </w:p>
    <w:p w14:paraId="4746FA67" w14:textId="77777777" w:rsidR="0048567D" w:rsidRDefault="00AA1FA7">
      <w:pPr>
        <w:numPr>
          <w:ilvl w:val="0"/>
          <w:numId w:val="4"/>
        </w:numPr>
        <w:pBdr>
          <w:top w:val="nil"/>
          <w:left w:val="nil"/>
          <w:bottom w:val="nil"/>
          <w:right w:val="nil"/>
          <w:between w:val="nil"/>
        </w:pBdr>
        <w:spacing w:after="0"/>
        <w:rPr>
          <w:rFonts w:ascii="Amasis MT Pro" w:eastAsia="Amasis MT Pro" w:hAnsi="Amasis MT Pro" w:cs="Amasis MT Pro"/>
          <w:color w:val="000000"/>
        </w:rPr>
      </w:pPr>
      <w:r>
        <w:rPr>
          <w:rFonts w:ascii="Amasis MT Pro" w:eastAsia="Amasis MT Pro" w:hAnsi="Amasis MT Pro" w:cs="Amasis MT Pro"/>
          <w:color w:val="000000"/>
        </w:rPr>
        <w:t>Mission Statement</w:t>
      </w:r>
    </w:p>
    <w:p w14:paraId="09012992" w14:textId="77777777" w:rsidR="0048567D" w:rsidRDefault="00AA1FA7">
      <w:pPr>
        <w:numPr>
          <w:ilvl w:val="0"/>
          <w:numId w:val="4"/>
        </w:numPr>
        <w:pBdr>
          <w:top w:val="nil"/>
          <w:left w:val="nil"/>
          <w:bottom w:val="nil"/>
          <w:right w:val="nil"/>
          <w:between w:val="nil"/>
        </w:pBdr>
        <w:spacing w:after="0"/>
        <w:rPr>
          <w:rFonts w:ascii="Amasis MT Pro" w:eastAsia="Amasis MT Pro" w:hAnsi="Amasis MT Pro" w:cs="Amasis MT Pro"/>
          <w:color w:val="000000"/>
        </w:rPr>
      </w:pPr>
      <w:r>
        <w:rPr>
          <w:rFonts w:ascii="Amasis MT Pro" w:eastAsia="Amasis MT Pro" w:hAnsi="Amasis MT Pro" w:cs="Amasis MT Pro"/>
          <w:color w:val="000000"/>
        </w:rPr>
        <w:t>Collection Objectives</w:t>
      </w:r>
    </w:p>
    <w:p w14:paraId="0CA48BF3" w14:textId="77777777" w:rsidR="0048567D" w:rsidRDefault="00AA1FA7">
      <w:pPr>
        <w:numPr>
          <w:ilvl w:val="0"/>
          <w:numId w:val="4"/>
        </w:numPr>
        <w:pBdr>
          <w:top w:val="nil"/>
          <w:left w:val="nil"/>
          <w:bottom w:val="nil"/>
          <w:right w:val="nil"/>
          <w:between w:val="nil"/>
        </w:pBdr>
        <w:spacing w:after="0"/>
        <w:rPr>
          <w:rFonts w:ascii="Amasis MT Pro" w:eastAsia="Amasis MT Pro" w:hAnsi="Amasis MT Pro" w:cs="Amasis MT Pro"/>
          <w:color w:val="000000"/>
        </w:rPr>
      </w:pPr>
      <w:r>
        <w:rPr>
          <w:rFonts w:ascii="Amasis MT Pro" w:eastAsia="Amasis MT Pro" w:hAnsi="Amasis MT Pro" w:cs="Amasis MT Pro"/>
          <w:color w:val="000000"/>
        </w:rPr>
        <w:t>Collection Categories</w:t>
      </w:r>
    </w:p>
    <w:p w14:paraId="1F99AED0" w14:textId="77777777" w:rsidR="0048567D" w:rsidRDefault="00AA1FA7">
      <w:pPr>
        <w:numPr>
          <w:ilvl w:val="0"/>
          <w:numId w:val="4"/>
        </w:numPr>
        <w:pBdr>
          <w:top w:val="nil"/>
          <w:left w:val="nil"/>
          <w:bottom w:val="nil"/>
          <w:right w:val="nil"/>
          <w:between w:val="nil"/>
        </w:pBdr>
        <w:spacing w:after="0"/>
        <w:rPr>
          <w:rFonts w:ascii="Amasis MT Pro" w:eastAsia="Amasis MT Pro" w:hAnsi="Amasis MT Pro" w:cs="Amasis MT Pro"/>
          <w:color w:val="000000"/>
        </w:rPr>
      </w:pPr>
      <w:r>
        <w:rPr>
          <w:rFonts w:ascii="Amasis MT Pro" w:eastAsia="Amasis MT Pro" w:hAnsi="Amasis MT Pro" w:cs="Amasis MT Pro"/>
          <w:color w:val="000000"/>
        </w:rPr>
        <w:t>Acquisition Policy</w:t>
      </w:r>
    </w:p>
    <w:p w14:paraId="65D42A9E" w14:textId="77777777" w:rsidR="0048567D" w:rsidRDefault="00AA1FA7">
      <w:pPr>
        <w:numPr>
          <w:ilvl w:val="0"/>
          <w:numId w:val="4"/>
        </w:numPr>
        <w:pBdr>
          <w:top w:val="nil"/>
          <w:left w:val="nil"/>
          <w:bottom w:val="nil"/>
          <w:right w:val="nil"/>
          <w:between w:val="nil"/>
        </w:pBdr>
        <w:rPr>
          <w:rFonts w:ascii="Amasis MT Pro" w:eastAsia="Amasis MT Pro" w:hAnsi="Amasis MT Pro" w:cs="Amasis MT Pro"/>
          <w:color w:val="000000"/>
        </w:rPr>
      </w:pPr>
      <w:r>
        <w:rPr>
          <w:rFonts w:ascii="Amasis MT Pro" w:eastAsia="Amasis MT Pro" w:hAnsi="Amasis MT Pro" w:cs="Amasis MT Pro"/>
          <w:color w:val="000000"/>
        </w:rPr>
        <w:t>Deaccession Policy</w:t>
      </w:r>
    </w:p>
    <w:p w14:paraId="1773CD10" w14:textId="77777777" w:rsidR="0048567D" w:rsidRDefault="0048567D">
      <w:pPr>
        <w:pStyle w:val="Subtitle"/>
        <w:pBdr>
          <w:bottom w:val="single" w:sz="6" w:space="1" w:color="000000"/>
        </w:pBdr>
      </w:pPr>
    </w:p>
    <w:p w14:paraId="508E943C" w14:textId="77777777" w:rsidR="0048567D" w:rsidRDefault="00AA1FA7">
      <w:pPr>
        <w:pStyle w:val="Subtitle"/>
      </w:pPr>
      <w:r>
        <w:t xml:space="preserve">Mission Statement </w:t>
      </w:r>
    </w:p>
    <w:p w14:paraId="08D9AF32" w14:textId="77777777" w:rsidR="0048567D" w:rsidRDefault="00AA1FA7">
      <w:pPr>
        <w:rPr>
          <w:rFonts w:ascii="Amasis MT Pro" w:eastAsia="Amasis MT Pro" w:hAnsi="Amasis MT Pro" w:cs="Amasis MT Pro"/>
        </w:rPr>
      </w:pPr>
      <w:r>
        <w:rPr>
          <w:rFonts w:ascii="Amasis MT Pro" w:eastAsia="Amasis MT Pro" w:hAnsi="Amasis MT Pro" w:cs="Amasis MT Pro"/>
        </w:rPr>
        <w:t>The mission of Putnam County Museum is to collect, preserve, and interpret the natural, historical, and cultural heritage of Putnam County.</w:t>
      </w:r>
    </w:p>
    <w:p w14:paraId="2222CC23" w14:textId="77777777" w:rsidR="0048567D" w:rsidRDefault="0048567D">
      <w:pPr>
        <w:rPr>
          <w:rFonts w:ascii="Amasis MT Pro" w:eastAsia="Amasis MT Pro" w:hAnsi="Amasis MT Pro" w:cs="Amasis MT Pro"/>
        </w:rPr>
      </w:pPr>
    </w:p>
    <w:p w14:paraId="2BFE0C52" w14:textId="77777777" w:rsidR="0048567D" w:rsidRDefault="00AA1FA7">
      <w:pPr>
        <w:pStyle w:val="Subtitle"/>
      </w:pPr>
      <w:r>
        <w:t>Collection Objectives</w:t>
      </w:r>
    </w:p>
    <w:p w14:paraId="4C2B62B5" w14:textId="77777777" w:rsidR="0048567D" w:rsidRDefault="00AA1FA7">
      <w:pPr>
        <w:rPr>
          <w:rFonts w:ascii="Amasis MT Pro" w:eastAsia="Amasis MT Pro" w:hAnsi="Amasis MT Pro" w:cs="Amasis MT Pro"/>
        </w:rPr>
      </w:pPr>
      <w:r>
        <w:rPr>
          <w:rFonts w:ascii="Amasis MT Pro" w:eastAsia="Amasis MT Pro" w:hAnsi="Amasis MT Pro" w:cs="Amasis MT Pro"/>
        </w:rPr>
        <w:t xml:space="preserve">The essence of the Museum’s collection must in in conformance with the mission of the Putnam County Museum, in that it must be related to Putnam County’s natural, historical, </w:t>
      </w:r>
      <w:r w:rsidRPr="009014EC">
        <w:rPr>
          <w:rFonts w:ascii="Amasis MT Pro" w:eastAsia="Amasis MT Pro" w:hAnsi="Amasis MT Pro" w:cs="Amasis MT Pro"/>
          <w:bCs/>
        </w:rPr>
        <w:t>and/or</w:t>
      </w:r>
      <w:r>
        <w:rPr>
          <w:rFonts w:ascii="Amasis MT Pro" w:eastAsia="Amasis MT Pro" w:hAnsi="Amasis MT Pro" w:cs="Amasis MT Pro"/>
        </w:rPr>
        <w:t xml:space="preserve"> cultural heritage. The collection is held by the Museum in trust and public interest, so that present and future generations may use them to acquire and disseminate knowledge.</w:t>
      </w:r>
    </w:p>
    <w:p w14:paraId="37768715" w14:textId="77777777" w:rsidR="0048567D" w:rsidRDefault="00AA1FA7">
      <w:pPr>
        <w:rPr>
          <w:rFonts w:ascii="Amasis MT Pro" w:eastAsia="Amasis MT Pro" w:hAnsi="Amasis MT Pro" w:cs="Amasis MT Pro"/>
        </w:rPr>
      </w:pPr>
      <w:r>
        <w:rPr>
          <w:rFonts w:ascii="Amasis MT Pro" w:eastAsia="Amasis MT Pro" w:hAnsi="Amasis MT Pro" w:cs="Amasis MT Pro"/>
        </w:rPr>
        <w:t>Therefore, the scope of the objects within the collection must meet the following criteria:</w:t>
      </w:r>
    </w:p>
    <w:p w14:paraId="5928F57D" w14:textId="77777777" w:rsidR="0048567D" w:rsidRDefault="00AA1FA7">
      <w:pPr>
        <w:numPr>
          <w:ilvl w:val="0"/>
          <w:numId w:val="1"/>
        </w:numPr>
        <w:pBdr>
          <w:top w:val="nil"/>
          <w:left w:val="nil"/>
          <w:bottom w:val="nil"/>
          <w:right w:val="nil"/>
          <w:between w:val="nil"/>
        </w:pBdr>
        <w:spacing w:after="0"/>
        <w:rPr>
          <w:rFonts w:ascii="Amasis MT Pro" w:eastAsia="Amasis MT Pro" w:hAnsi="Amasis MT Pro" w:cs="Amasis MT Pro"/>
          <w:color w:val="000000"/>
        </w:rPr>
      </w:pPr>
      <w:r>
        <w:rPr>
          <w:rFonts w:ascii="Amasis MT Pro" w:eastAsia="Amasis MT Pro" w:hAnsi="Amasis MT Pro" w:cs="Amasis MT Pro"/>
          <w:color w:val="000000"/>
        </w:rPr>
        <w:t>Be relevant to and consistent with the mission statement and activities of the museum.</w:t>
      </w:r>
    </w:p>
    <w:p w14:paraId="135E937B" w14:textId="77777777" w:rsidR="0048567D" w:rsidRDefault="00AA1FA7">
      <w:pPr>
        <w:numPr>
          <w:ilvl w:val="0"/>
          <w:numId w:val="1"/>
        </w:numPr>
        <w:pBdr>
          <w:top w:val="nil"/>
          <w:left w:val="nil"/>
          <w:bottom w:val="nil"/>
          <w:right w:val="nil"/>
          <w:between w:val="nil"/>
        </w:pBdr>
        <w:spacing w:after="0"/>
        <w:rPr>
          <w:rFonts w:ascii="Amasis MT Pro" w:eastAsia="Amasis MT Pro" w:hAnsi="Amasis MT Pro" w:cs="Amasis MT Pro"/>
          <w:color w:val="000000"/>
        </w:rPr>
      </w:pPr>
      <w:r>
        <w:rPr>
          <w:rFonts w:ascii="Amasis MT Pro" w:eastAsia="Amasis MT Pro" w:hAnsi="Amasis MT Pro" w:cs="Amasis MT Pro"/>
          <w:color w:val="000000"/>
        </w:rPr>
        <w:t>Have a clear and direct connection with the people, sites, activities, and/or events in the history of Putnam County.</w:t>
      </w:r>
    </w:p>
    <w:p w14:paraId="2E4C8BB5" w14:textId="77777777" w:rsidR="0048567D" w:rsidRDefault="00AA1FA7">
      <w:pPr>
        <w:numPr>
          <w:ilvl w:val="0"/>
          <w:numId w:val="1"/>
        </w:numPr>
        <w:pBdr>
          <w:top w:val="nil"/>
          <w:left w:val="nil"/>
          <w:bottom w:val="nil"/>
          <w:right w:val="nil"/>
          <w:between w:val="nil"/>
        </w:pBdr>
        <w:rPr>
          <w:rFonts w:ascii="Amasis MT Pro" w:eastAsia="Amasis MT Pro" w:hAnsi="Amasis MT Pro" w:cs="Amasis MT Pro"/>
          <w:color w:val="000000"/>
        </w:rPr>
      </w:pPr>
      <w:r>
        <w:rPr>
          <w:rFonts w:ascii="Amasis MT Pro" w:eastAsia="Amasis MT Pro" w:hAnsi="Amasis MT Pro" w:cs="Amasis MT Pro"/>
          <w:color w:val="000000"/>
        </w:rPr>
        <w:t xml:space="preserve">Be of a size and condition so that the Museum can provide for the storage, protection, and preservation of the artifact under conditions that ensure their availability for Museum purposes and </w:t>
      </w:r>
      <w:proofErr w:type="gramStart"/>
      <w:r>
        <w:rPr>
          <w:rFonts w:ascii="Amasis MT Pro" w:eastAsia="Amasis MT Pro" w:hAnsi="Amasis MT Pro" w:cs="Amasis MT Pro"/>
          <w:color w:val="000000"/>
        </w:rPr>
        <w:t>are in compliance with</w:t>
      </w:r>
      <w:proofErr w:type="gramEnd"/>
      <w:r>
        <w:rPr>
          <w:rFonts w:ascii="Amasis MT Pro" w:eastAsia="Amasis MT Pro" w:hAnsi="Amasis MT Pro" w:cs="Amasis MT Pro"/>
          <w:color w:val="000000"/>
        </w:rPr>
        <w:t xml:space="preserve"> professionally accepted standards.</w:t>
      </w:r>
    </w:p>
    <w:p w14:paraId="4998772B" w14:textId="77777777" w:rsidR="0048567D" w:rsidRDefault="00AA1FA7">
      <w:pPr>
        <w:rPr>
          <w:rFonts w:ascii="Amasis MT Pro" w:eastAsia="Amasis MT Pro" w:hAnsi="Amasis MT Pro" w:cs="Amasis MT Pro"/>
        </w:rPr>
      </w:pPr>
      <w:r>
        <w:br w:type="page"/>
      </w:r>
    </w:p>
    <w:p w14:paraId="79209358" w14:textId="77777777" w:rsidR="0048567D" w:rsidRDefault="0048567D">
      <w:pPr>
        <w:rPr>
          <w:rFonts w:ascii="Amasis MT Pro" w:eastAsia="Amasis MT Pro" w:hAnsi="Amasis MT Pro" w:cs="Amasis MT Pro"/>
        </w:rPr>
      </w:pPr>
    </w:p>
    <w:p w14:paraId="71C1984B" w14:textId="77777777" w:rsidR="0048567D" w:rsidRDefault="00AA1FA7">
      <w:pPr>
        <w:pStyle w:val="Subtitle"/>
      </w:pPr>
      <w:r>
        <w:t>Collection Categories</w:t>
      </w:r>
    </w:p>
    <w:p w14:paraId="2AFC62DE" w14:textId="77777777" w:rsidR="0048567D" w:rsidRDefault="00AA1FA7">
      <w:pPr>
        <w:numPr>
          <w:ilvl w:val="0"/>
          <w:numId w:val="2"/>
        </w:numPr>
        <w:pBdr>
          <w:top w:val="nil"/>
          <w:left w:val="nil"/>
          <w:bottom w:val="nil"/>
          <w:right w:val="nil"/>
          <w:between w:val="nil"/>
        </w:pBdr>
        <w:spacing w:after="0"/>
        <w:rPr>
          <w:rFonts w:ascii="Amasis MT Pro" w:eastAsia="Amasis MT Pro" w:hAnsi="Amasis MT Pro" w:cs="Amasis MT Pro"/>
          <w:color w:val="000000"/>
        </w:rPr>
      </w:pPr>
      <w:r>
        <w:rPr>
          <w:rFonts w:ascii="Amasis MT Pro" w:eastAsia="Amasis MT Pro" w:hAnsi="Amasis MT Pro" w:cs="Amasis MT Pro"/>
          <w:color w:val="000000"/>
        </w:rPr>
        <w:t>The P</w:t>
      </w:r>
      <w:r>
        <w:rPr>
          <w:rFonts w:ascii="Amasis MT Pro" w:eastAsia="Amasis MT Pro" w:hAnsi="Amasis MT Pro" w:cs="Amasis MT Pro"/>
          <w:color w:val="000000"/>
        </w:rPr>
        <w:t>ermanent Collection: Objects accessioned into the Museum’s Permanent Collection have priority in the collection due to their unique significance to Putnam County. These pieces are subject to strict accountability and the highest levels of care. They are scrutinized for authenticity, and their physical integrity is of primary importance. The Permanent Collection uniquely illustrates or documents the history of Putnam County. Each historically, culturally, or naturally significant object is accessioned into t</w:t>
      </w:r>
      <w:r>
        <w:rPr>
          <w:rFonts w:ascii="Amasis MT Pro" w:eastAsia="Amasis MT Pro" w:hAnsi="Amasis MT Pro" w:cs="Amasis MT Pro"/>
          <w:color w:val="000000"/>
        </w:rPr>
        <w:t>he Permanent Collection at the time of acquisition.</w:t>
      </w:r>
    </w:p>
    <w:p w14:paraId="2F69AE99" w14:textId="77777777" w:rsidR="0048567D" w:rsidRDefault="00AA1FA7">
      <w:pPr>
        <w:numPr>
          <w:ilvl w:val="0"/>
          <w:numId w:val="2"/>
        </w:numPr>
        <w:pBdr>
          <w:top w:val="nil"/>
          <w:left w:val="nil"/>
          <w:bottom w:val="nil"/>
          <w:right w:val="nil"/>
          <w:between w:val="nil"/>
        </w:pBdr>
        <w:rPr>
          <w:rFonts w:ascii="Amasis MT Pro" w:eastAsia="Amasis MT Pro" w:hAnsi="Amasis MT Pro" w:cs="Amasis MT Pro"/>
          <w:color w:val="000000"/>
        </w:rPr>
      </w:pPr>
      <w:r>
        <w:rPr>
          <w:rFonts w:ascii="Amasis MT Pro" w:eastAsia="Amasis MT Pro" w:hAnsi="Amasis MT Pro" w:cs="Amasis MT Pro"/>
          <w:color w:val="000000"/>
        </w:rPr>
        <w:t xml:space="preserve">Educational Collection </w:t>
      </w:r>
      <w:r>
        <w:rPr>
          <w:rFonts w:ascii="Amasis MT Pro" w:eastAsia="Amasis MT Pro" w:hAnsi="Amasis MT Pro" w:cs="Amasis MT Pro"/>
        </w:rPr>
        <w:t>and Exhibit Enhancement</w:t>
      </w:r>
      <w:r>
        <w:rPr>
          <w:rFonts w:ascii="Amasis MT Pro" w:eastAsia="Amasis MT Pro" w:hAnsi="Amasis MT Pro" w:cs="Amasis MT Pro"/>
          <w:color w:val="000000"/>
        </w:rPr>
        <w:t>: Each acquisition should be first considered for accession into the Permanent Collection. Objects that do not meet the criteria for that category will next be considered for the Educational Collection. This collection contains objects suitable for use in hands-on demonstrations and displays. Objects may be used as props or reproductions for programs and exhibits. This collection is intended to supplement exhibits, tours, outreach programs, and research. Due to the hands-on nature of the Educational Collect</w:t>
      </w:r>
      <w:r>
        <w:rPr>
          <w:rFonts w:ascii="Amasis MT Pro" w:eastAsia="Amasis MT Pro" w:hAnsi="Amasis MT Pro" w:cs="Amasis MT Pro"/>
          <w:color w:val="000000"/>
        </w:rPr>
        <w:t>ion, the Museum understands that items in this collection are susceptible to deterioration and eventual disposal</w:t>
      </w:r>
      <w:r>
        <w:rPr>
          <w:rFonts w:ascii="Amasis MT Pro" w:eastAsia="Amasis MT Pro" w:hAnsi="Amasis MT Pro" w:cs="Amasis MT Pro"/>
          <w:color w:val="000000"/>
        </w:rPr>
        <w:t>. Therefore, items in the Educational Collection do not require the same level of care as items in the Permanent Collection.</w:t>
      </w:r>
    </w:p>
    <w:p w14:paraId="045BF628" w14:textId="77777777" w:rsidR="0048567D" w:rsidRDefault="0048567D">
      <w:pPr>
        <w:rPr>
          <w:rFonts w:ascii="Amasis MT Pro" w:eastAsia="Amasis MT Pro" w:hAnsi="Amasis MT Pro" w:cs="Amasis MT Pro"/>
        </w:rPr>
      </w:pPr>
    </w:p>
    <w:p w14:paraId="56FF1673" w14:textId="77777777" w:rsidR="0048567D" w:rsidRDefault="00AA1FA7">
      <w:pPr>
        <w:pStyle w:val="Subtitle"/>
      </w:pPr>
      <w:r>
        <w:t>Acquisition Policy</w:t>
      </w:r>
    </w:p>
    <w:p w14:paraId="130D2348" w14:textId="77777777" w:rsidR="0048567D" w:rsidRDefault="00AA1FA7">
      <w:pPr>
        <w:rPr>
          <w:rFonts w:ascii="Amasis MT Pro" w:eastAsia="Amasis MT Pro" w:hAnsi="Amasis MT Pro" w:cs="Amasis MT Pro"/>
        </w:rPr>
      </w:pPr>
      <w:r>
        <w:rPr>
          <w:rFonts w:ascii="Amasis MT Pro" w:eastAsia="Amasis MT Pro" w:hAnsi="Amasis MT Pro" w:cs="Amasis MT Pro"/>
        </w:rPr>
        <w:t>Acquisitions, through which the title of ownership is transferred to Putnam County Museum, may be made by gift, bequest, purchase, or transfer from another organization. All donors receive and sign a Deed of Gift, in which they, by signature and verbal agreement, agree that Putnam County Museum becomes the new owner and thereby may decide which actions are appropriate. Possible actions include accessioning, transfer, sale, or disposal of the donated object. The Executive Director has final authority on choo</w:t>
      </w:r>
      <w:r>
        <w:rPr>
          <w:rFonts w:ascii="Amasis MT Pro" w:eastAsia="Amasis MT Pro" w:hAnsi="Amasis MT Pro" w:cs="Amasis MT Pro"/>
        </w:rPr>
        <w:t>sing a course of action for each object donated.</w:t>
      </w:r>
    </w:p>
    <w:p w14:paraId="7A0F2B0A" w14:textId="77777777" w:rsidR="0048567D" w:rsidRDefault="00AA1FA7">
      <w:pPr>
        <w:rPr>
          <w:rFonts w:ascii="Amasis MT Pro" w:eastAsia="Amasis MT Pro" w:hAnsi="Amasis MT Pro" w:cs="Amasis MT Pro"/>
        </w:rPr>
      </w:pPr>
      <w:r>
        <w:rPr>
          <w:rFonts w:ascii="Amasis MT Pro" w:eastAsia="Amasis MT Pro" w:hAnsi="Amasis MT Pro" w:cs="Amasis MT Pro"/>
        </w:rPr>
        <w:t>Factors determining acquisition:</w:t>
      </w:r>
    </w:p>
    <w:p w14:paraId="32F30D14" w14:textId="77777777" w:rsidR="0048567D" w:rsidRDefault="00AA1FA7">
      <w:pPr>
        <w:numPr>
          <w:ilvl w:val="0"/>
          <w:numId w:val="3"/>
        </w:numPr>
        <w:pBdr>
          <w:top w:val="nil"/>
          <w:left w:val="nil"/>
          <w:bottom w:val="nil"/>
          <w:right w:val="nil"/>
          <w:between w:val="nil"/>
        </w:pBdr>
        <w:spacing w:after="0"/>
        <w:rPr>
          <w:rFonts w:ascii="Amasis MT Pro" w:eastAsia="Amasis MT Pro" w:hAnsi="Amasis MT Pro" w:cs="Amasis MT Pro"/>
          <w:color w:val="000000"/>
          <w:sz w:val="22"/>
          <w:szCs w:val="22"/>
        </w:rPr>
      </w:pPr>
      <w:r>
        <w:rPr>
          <w:rFonts w:ascii="Amasis MT Pro" w:eastAsia="Amasis MT Pro" w:hAnsi="Amasis MT Pro" w:cs="Amasis MT Pro"/>
          <w:color w:val="000000"/>
          <w:sz w:val="22"/>
          <w:szCs w:val="22"/>
        </w:rPr>
        <w:t xml:space="preserve">Object is properly </w:t>
      </w:r>
      <w:proofErr w:type="gramStart"/>
      <w:r>
        <w:rPr>
          <w:rFonts w:ascii="Amasis MT Pro" w:eastAsia="Amasis MT Pro" w:hAnsi="Amasis MT Pro" w:cs="Amasis MT Pro"/>
          <w:color w:val="000000"/>
          <w:sz w:val="22"/>
          <w:szCs w:val="22"/>
        </w:rPr>
        <w:t>documented</w:t>
      </w:r>
      <w:proofErr w:type="gramEnd"/>
      <w:r>
        <w:rPr>
          <w:rFonts w:ascii="Amasis MT Pro" w:eastAsia="Amasis MT Pro" w:hAnsi="Amasis MT Pro" w:cs="Amasis MT Pro"/>
          <w:color w:val="000000"/>
          <w:sz w:val="22"/>
          <w:szCs w:val="22"/>
        </w:rPr>
        <w:t xml:space="preserve"> and its provenance is clear</w:t>
      </w:r>
    </w:p>
    <w:p w14:paraId="31498837" w14:textId="77777777" w:rsidR="0048567D" w:rsidRDefault="00AA1FA7">
      <w:pPr>
        <w:numPr>
          <w:ilvl w:val="0"/>
          <w:numId w:val="3"/>
        </w:numPr>
        <w:pBdr>
          <w:top w:val="nil"/>
          <w:left w:val="nil"/>
          <w:bottom w:val="nil"/>
          <w:right w:val="nil"/>
          <w:between w:val="nil"/>
        </w:pBdr>
        <w:spacing w:after="0"/>
        <w:rPr>
          <w:rFonts w:ascii="Amasis MT Pro" w:eastAsia="Amasis MT Pro" w:hAnsi="Amasis MT Pro" w:cs="Amasis MT Pro"/>
          <w:color w:val="000000"/>
          <w:sz w:val="22"/>
          <w:szCs w:val="22"/>
        </w:rPr>
      </w:pPr>
      <w:r>
        <w:rPr>
          <w:rFonts w:ascii="Amasis MT Pro" w:eastAsia="Amasis MT Pro" w:hAnsi="Amasis MT Pro" w:cs="Amasis MT Pro"/>
          <w:color w:val="000000"/>
          <w:sz w:val="22"/>
          <w:szCs w:val="22"/>
        </w:rPr>
        <w:t>Object relates to the historical,</w:t>
      </w:r>
      <w:r>
        <w:rPr>
          <w:rFonts w:ascii="Amasis MT Pro" w:eastAsia="Amasis MT Pro" w:hAnsi="Amasis MT Pro" w:cs="Amasis MT Pro"/>
          <w:color w:val="000000"/>
          <w:sz w:val="22"/>
          <w:szCs w:val="22"/>
        </w:rPr>
        <w:t xml:space="preserve"> natural, or cultural heritage of Putnam County</w:t>
      </w:r>
    </w:p>
    <w:p w14:paraId="6CFB788D" w14:textId="77777777" w:rsidR="0048567D" w:rsidRDefault="00AA1FA7">
      <w:pPr>
        <w:numPr>
          <w:ilvl w:val="0"/>
          <w:numId w:val="3"/>
        </w:numPr>
        <w:pBdr>
          <w:top w:val="nil"/>
          <w:left w:val="nil"/>
          <w:bottom w:val="nil"/>
          <w:right w:val="nil"/>
          <w:between w:val="nil"/>
        </w:pBdr>
        <w:spacing w:after="0"/>
        <w:rPr>
          <w:color w:val="000000"/>
          <w:sz w:val="22"/>
          <w:szCs w:val="22"/>
        </w:rPr>
      </w:pPr>
      <w:r>
        <w:rPr>
          <w:rFonts w:ascii="Amasis MT Pro" w:eastAsia="Amasis MT Pro" w:hAnsi="Amasis MT Pro" w:cs="Amasis MT Pro"/>
          <w:color w:val="000000"/>
          <w:sz w:val="22"/>
          <w:szCs w:val="22"/>
        </w:rPr>
        <w:t>Restrictions or conditions placed on the donation may be considered in special cases, at the discretion of the Executive Director</w:t>
      </w:r>
    </w:p>
    <w:p w14:paraId="064C9982" w14:textId="77777777" w:rsidR="0048567D" w:rsidRDefault="00AA1FA7">
      <w:pPr>
        <w:numPr>
          <w:ilvl w:val="0"/>
          <w:numId w:val="3"/>
        </w:numPr>
        <w:pBdr>
          <w:top w:val="nil"/>
          <w:left w:val="nil"/>
          <w:bottom w:val="nil"/>
          <w:right w:val="nil"/>
          <w:between w:val="nil"/>
        </w:pBdr>
        <w:spacing w:after="0"/>
        <w:rPr>
          <w:color w:val="000000"/>
          <w:sz w:val="22"/>
          <w:szCs w:val="22"/>
        </w:rPr>
      </w:pPr>
      <w:r>
        <w:rPr>
          <w:rFonts w:ascii="Amasis MT Pro" w:eastAsia="Amasis MT Pro" w:hAnsi="Amasis MT Pro" w:cs="Amasis MT Pro"/>
          <w:color w:val="000000"/>
          <w:sz w:val="22"/>
          <w:szCs w:val="22"/>
        </w:rPr>
        <w:t>Object is in a condition that makes it possible to store, research, or exhibit</w:t>
      </w:r>
    </w:p>
    <w:p w14:paraId="43A9D370" w14:textId="77777777" w:rsidR="0048567D" w:rsidRDefault="00AA1FA7">
      <w:pPr>
        <w:numPr>
          <w:ilvl w:val="0"/>
          <w:numId w:val="3"/>
        </w:numPr>
        <w:pBdr>
          <w:top w:val="nil"/>
          <w:left w:val="nil"/>
          <w:bottom w:val="nil"/>
          <w:right w:val="nil"/>
          <w:between w:val="nil"/>
        </w:pBdr>
        <w:spacing w:after="0"/>
        <w:rPr>
          <w:color w:val="000000"/>
          <w:sz w:val="22"/>
          <w:szCs w:val="22"/>
        </w:rPr>
      </w:pPr>
      <w:r>
        <w:rPr>
          <w:rFonts w:ascii="Amasis MT Pro" w:eastAsia="Amasis MT Pro" w:hAnsi="Amasis MT Pro" w:cs="Amasis MT Pro"/>
          <w:color w:val="000000"/>
          <w:sz w:val="22"/>
          <w:szCs w:val="22"/>
        </w:rPr>
        <w:t>Object is a useful educational tool</w:t>
      </w:r>
    </w:p>
    <w:p w14:paraId="652146E7" w14:textId="77777777" w:rsidR="0048567D" w:rsidRDefault="00AA1FA7">
      <w:pPr>
        <w:numPr>
          <w:ilvl w:val="0"/>
          <w:numId w:val="3"/>
        </w:numPr>
        <w:pBdr>
          <w:top w:val="nil"/>
          <w:left w:val="nil"/>
          <w:bottom w:val="nil"/>
          <w:right w:val="nil"/>
          <w:between w:val="nil"/>
        </w:pBdr>
        <w:rPr>
          <w:color w:val="000000"/>
          <w:sz w:val="22"/>
          <w:szCs w:val="22"/>
        </w:rPr>
      </w:pPr>
      <w:r>
        <w:rPr>
          <w:rFonts w:ascii="Amasis MT Pro" w:eastAsia="Amasis MT Pro" w:hAnsi="Amasis MT Pro" w:cs="Amasis MT Pro"/>
          <w:color w:val="000000"/>
          <w:sz w:val="22"/>
          <w:szCs w:val="22"/>
        </w:rPr>
        <w:t xml:space="preserve">Object is unique within the Permanent Collection </w:t>
      </w:r>
    </w:p>
    <w:p w14:paraId="48A9F63E" w14:textId="77777777" w:rsidR="0048567D" w:rsidRDefault="00AA1FA7">
      <w:pPr>
        <w:numPr>
          <w:ilvl w:val="0"/>
          <w:numId w:val="3"/>
        </w:numPr>
        <w:pBdr>
          <w:top w:val="nil"/>
          <w:left w:val="nil"/>
          <w:bottom w:val="nil"/>
          <w:right w:val="nil"/>
          <w:between w:val="nil"/>
        </w:pBdr>
        <w:rPr>
          <w:rFonts w:ascii="Amasis MT Pro" w:eastAsia="Amasis MT Pro" w:hAnsi="Amasis MT Pro" w:cs="Amasis MT Pro"/>
          <w:sz w:val="22"/>
          <w:szCs w:val="22"/>
        </w:rPr>
      </w:pPr>
      <w:r>
        <w:rPr>
          <w:rFonts w:ascii="Amasis MT Pro" w:eastAsia="Amasis MT Pro" w:hAnsi="Amasis MT Pro" w:cs="Amasis MT Pro"/>
          <w:sz w:val="22"/>
          <w:szCs w:val="22"/>
        </w:rPr>
        <w:t>Ultimately, the decision comes down to the Executive Director</w:t>
      </w:r>
    </w:p>
    <w:p w14:paraId="3B5878B3" w14:textId="77777777" w:rsidR="0048567D" w:rsidRDefault="0048567D">
      <w:pPr>
        <w:rPr>
          <w:rFonts w:ascii="Amasis MT Pro" w:eastAsia="Amasis MT Pro" w:hAnsi="Amasis MT Pro" w:cs="Amasis MT Pro"/>
        </w:rPr>
      </w:pPr>
    </w:p>
    <w:p w14:paraId="4C1B2C24" w14:textId="77777777" w:rsidR="0048567D" w:rsidRDefault="00AA1FA7">
      <w:pPr>
        <w:pStyle w:val="Subtitle"/>
      </w:pPr>
      <w:r>
        <w:t>Deaccession Policy</w:t>
      </w:r>
    </w:p>
    <w:p w14:paraId="497934FF" w14:textId="70BA68D4" w:rsidR="0048567D" w:rsidRDefault="00AA1FA7">
      <w:pPr>
        <w:rPr>
          <w:rFonts w:ascii="Amasis MT Pro" w:eastAsia="Amasis MT Pro" w:hAnsi="Amasis MT Pro" w:cs="Amasis MT Pro"/>
        </w:rPr>
      </w:pPr>
      <w:r>
        <w:rPr>
          <w:rFonts w:ascii="Amasis MT Pro" w:eastAsia="Amasis MT Pro" w:hAnsi="Amasis MT Pro" w:cs="Amasis MT Pro"/>
        </w:rPr>
        <w:t>An object will be considered for deaccessioning if it meets the following criteria:</w:t>
      </w:r>
    </w:p>
    <w:p w14:paraId="49F30542" w14:textId="77777777" w:rsidR="0048567D" w:rsidRDefault="00AA1FA7">
      <w:pPr>
        <w:numPr>
          <w:ilvl w:val="0"/>
          <w:numId w:val="3"/>
        </w:numPr>
        <w:pBdr>
          <w:top w:val="nil"/>
          <w:left w:val="nil"/>
          <w:bottom w:val="nil"/>
          <w:right w:val="nil"/>
          <w:between w:val="nil"/>
        </w:pBdr>
        <w:spacing w:after="0"/>
        <w:rPr>
          <w:rFonts w:ascii="Amasis MT Pro" w:eastAsia="Amasis MT Pro" w:hAnsi="Amasis MT Pro" w:cs="Amasis MT Pro"/>
          <w:color w:val="000000"/>
        </w:rPr>
      </w:pPr>
      <w:r>
        <w:rPr>
          <w:rFonts w:ascii="Amasis MT Pro" w:eastAsia="Amasis MT Pro" w:hAnsi="Amasis MT Pro" w:cs="Amasis MT Pro"/>
          <w:color w:val="000000"/>
        </w:rPr>
        <w:t>The object’s history and provenance justify that it falls outside of the mission of the Museum or the scope of the collection</w:t>
      </w:r>
    </w:p>
    <w:p w14:paraId="0B1DA107" w14:textId="5869B8AE" w:rsidR="0048567D" w:rsidRDefault="00AA1FA7">
      <w:pPr>
        <w:numPr>
          <w:ilvl w:val="0"/>
          <w:numId w:val="3"/>
        </w:numPr>
        <w:pBdr>
          <w:top w:val="nil"/>
          <w:left w:val="nil"/>
          <w:bottom w:val="nil"/>
          <w:right w:val="nil"/>
          <w:between w:val="nil"/>
        </w:pBdr>
        <w:spacing w:after="0"/>
        <w:rPr>
          <w:rFonts w:ascii="Amasis MT Pro" w:eastAsia="Amasis MT Pro" w:hAnsi="Amasis MT Pro" w:cs="Amasis MT Pro"/>
          <w:color w:val="000000"/>
        </w:rPr>
      </w:pPr>
      <w:r>
        <w:rPr>
          <w:rFonts w:ascii="Amasis MT Pro" w:eastAsia="Amasis MT Pro" w:hAnsi="Amasis MT Pro" w:cs="Amasis MT Pro"/>
          <w:color w:val="000000"/>
        </w:rPr>
        <w:t>The object is duplicated by others in the Collection</w:t>
      </w:r>
    </w:p>
    <w:p w14:paraId="0AB73A2D" w14:textId="77777777" w:rsidR="0048567D" w:rsidRDefault="00AA1FA7">
      <w:pPr>
        <w:numPr>
          <w:ilvl w:val="0"/>
          <w:numId w:val="3"/>
        </w:numPr>
        <w:pBdr>
          <w:top w:val="nil"/>
          <w:left w:val="nil"/>
          <w:bottom w:val="nil"/>
          <w:right w:val="nil"/>
          <w:between w:val="nil"/>
        </w:pBdr>
        <w:spacing w:after="0"/>
        <w:rPr>
          <w:rFonts w:ascii="Amasis MT Pro" w:eastAsia="Amasis MT Pro" w:hAnsi="Amasis MT Pro" w:cs="Amasis MT Pro"/>
          <w:color w:val="000000"/>
        </w:rPr>
      </w:pPr>
      <w:r>
        <w:rPr>
          <w:rFonts w:ascii="Amasis MT Pro" w:eastAsia="Amasis MT Pro" w:hAnsi="Amasis MT Pro" w:cs="Amasis MT Pro"/>
          <w:color w:val="000000"/>
        </w:rPr>
        <w:t xml:space="preserve">The object’s physical condition has deteriorated to a point at which it is no longer possible for the Museum to care for or interpret its history </w:t>
      </w:r>
      <w:r w:rsidRPr="00AA1FA7">
        <w:rPr>
          <w:rFonts w:ascii="Amasis MT Pro" w:eastAsia="Amasis MT Pro" w:hAnsi="Amasis MT Pro" w:cs="Amasis MT Pro"/>
          <w:color w:val="000000"/>
        </w:rPr>
        <w:t xml:space="preserve">or </w:t>
      </w:r>
      <w:r w:rsidRPr="00AA1FA7">
        <w:rPr>
          <w:rFonts w:ascii="Amasis MT Pro" w:eastAsia="Amasis MT Pro" w:hAnsi="Amasis MT Pro" w:cs="Amasis MT Pro"/>
          <w:color w:val="000000"/>
        </w:rPr>
        <w:t>significance</w:t>
      </w:r>
    </w:p>
    <w:p w14:paraId="323F7F67" w14:textId="038D446F" w:rsidR="0048567D" w:rsidRDefault="00AA1FA7">
      <w:pPr>
        <w:numPr>
          <w:ilvl w:val="0"/>
          <w:numId w:val="3"/>
        </w:numPr>
        <w:pBdr>
          <w:top w:val="nil"/>
          <w:left w:val="nil"/>
          <w:bottom w:val="nil"/>
          <w:right w:val="nil"/>
          <w:between w:val="nil"/>
        </w:pBdr>
        <w:spacing w:after="0"/>
        <w:rPr>
          <w:rFonts w:ascii="Amasis MT Pro" w:eastAsia="Amasis MT Pro" w:hAnsi="Amasis MT Pro" w:cs="Amasis MT Pro"/>
          <w:color w:val="000000"/>
        </w:rPr>
      </w:pPr>
      <w:r>
        <w:rPr>
          <w:rFonts w:ascii="Amasis MT Pro" w:eastAsia="Amasis MT Pro" w:hAnsi="Amasis MT Pro" w:cs="Amasis MT Pro"/>
          <w:color w:val="000000"/>
        </w:rPr>
        <w:t>The object has been missing (lost or stolen) for longer than two years</w:t>
      </w:r>
    </w:p>
    <w:p w14:paraId="49076EF4" w14:textId="77777777" w:rsidR="0048567D" w:rsidRDefault="00AA1FA7">
      <w:pPr>
        <w:numPr>
          <w:ilvl w:val="0"/>
          <w:numId w:val="3"/>
        </w:numPr>
        <w:pBdr>
          <w:top w:val="nil"/>
          <w:left w:val="nil"/>
          <w:bottom w:val="nil"/>
          <w:right w:val="nil"/>
          <w:between w:val="nil"/>
        </w:pBdr>
        <w:rPr>
          <w:rFonts w:ascii="Amasis MT Pro" w:eastAsia="Amasis MT Pro" w:hAnsi="Amasis MT Pro" w:cs="Amasis MT Pro"/>
          <w:color w:val="000000"/>
        </w:rPr>
      </w:pPr>
      <w:r>
        <w:rPr>
          <w:rFonts w:ascii="Amasis MT Pro" w:eastAsia="Amasis MT Pro" w:hAnsi="Amasis MT Pro" w:cs="Amasis MT Pro"/>
          <w:color w:val="000000"/>
        </w:rPr>
        <w:t>The object is deemed to not be useful for research, exhibition, or educational programs.</w:t>
      </w:r>
    </w:p>
    <w:p w14:paraId="3D386CFE" w14:textId="77777777" w:rsidR="0048567D" w:rsidRDefault="00AA1FA7">
      <w:pPr>
        <w:rPr>
          <w:rFonts w:ascii="Amasis MT Pro" w:eastAsia="Amasis MT Pro" w:hAnsi="Amasis MT Pro" w:cs="Amasis MT Pro"/>
        </w:rPr>
      </w:pPr>
      <w:r>
        <w:rPr>
          <w:rFonts w:ascii="Amasis MT Pro" w:eastAsia="Amasis MT Pro" w:hAnsi="Amasis MT Pro" w:cs="Amasis MT Pro"/>
        </w:rPr>
        <w:t>Deaccessioned objects from the Permanent Collection will be handled in one of the following manners:</w:t>
      </w:r>
    </w:p>
    <w:p w14:paraId="38BA2AC2" w14:textId="52143FB6" w:rsidR="0048567D" w:rsidRDefault="00AA1FA7">
      <w:pPr>
        <w:numPr>
          <w:ilvl w:val="0"/>
          <w:numId w:val="3"/>
        </w:numPr>
        <w:pBdr>
          <w:top w:val="nil"/>
          <w:left w:val="nil"/>
          <w:bottom w:val="nil"/>
          <w:right w:val="nil"/>
          <w:between w:val="nil"/>
        </w:pBdr>
        <w:spacing w:after="0"/>
        <w:rPr>
          <w:rFonts w:ascii="Amasis MT Pro" w:eastAsia="Amasis MT Pro" w:hAnsi="Amasis MT Pro" w:cs="Amasis MT Pro"/>
          <w:color w:val="000000"/>
        </w:rPr>
      </w:pPr>
      <w:r>
        <w:rPr>
          <w:rFonts w:ascii="Amasis MT Pro" w:eastAsia="Amasis MT Pro" w:hAnsi="Amasis MT Pro" w:cs="Amasis MT Pro"/>
          <w:color w:val="000000"/>
        </w:rPr>
        <w:t>Transfer of the object from the Permanent Collection into the Educational Collection, Reference Materials, or Exhibit Enhancement</w:t>
      </w:r>
    </w:p>
    <w:p w14:paraId="59073030" w14:textId="0638F4E7" w:rsidR="0048567D" w:rsidRDefault="00AA1FA7">
      <w:pPr>
        <w:numPr>
          <w:ilvl w:val="0"/>
          <w:numId w:val="3"/>
        </w:numPr>
        <w:pBdr>
          <w:top w:val="nil"/>
          <w:left w:val="nil"/>
          <w:bottom w:val="nil"/>
          <w:right w:val="nil"/>
          <w:between w:val="nil"/>
        </w:pBdr>
        <w:spacing w:after="0"/>
        <w:rPr>
          <w:rFonts w:ascii="Amasis MT Pro" w:eastAsia="Amasis MT Pro" w:hAnsi="Amasis MT Pro" w:cs="Amasis MT Pro"/>
          <w:color w:val="000000"/>
        </w:rPr>
      </w:pPr>
      <w:r>
        <w:rPr>
          <w:rFonts w:ascii="Amasis MT Pro" w:eastAsia="Amasis MT Pro" w:hAnsi="Amasis MT Pro" w:cs="Amasis MT Pro"/>
          <w:color w:val="000000"/>
        </w:rPr>
        <w:t>Transfer of the object, by gift or sale, to a non-profit museum, historical agency, library, or archive</w:t>
      </w:r>
    </w:p>
    <w:p w14:paraId="03D087DE" w14:textId="6A218B21" w:rsidR="0048567D" w:rsidRDefault="00AA1FA7">
      <w:pPr>
        <w:numPr>
          <w:ilvl w:val="0"/>
          <w:numId w:val="3"/>
        </w:numPr>
        <w:pBdr>
          <w:top w:val="nil"/>
          <w:left w:val="nil"/>
          <w:bottom w:val="nil"/>
          <w:right w:val="nil"/>
          <w:between w:val="nil"/>
        </w:pBdr>
        <w:spacing w:after="0"/>
        <w:rPr>
          <w:color w:val="000000"/>
        </w:rPr>
      </w:pPr>
      <w:r>
        <w:rPr>
          <w:rFonts w:ascii="Amasis MT Pro" w:eastAsia="Amasis MT Pro" w:hAnsi="Amasis MT Pro" w:cs="Amasis MT Pro"/>
          <w:color w:val="000000"/>
        </w:rPr>
        <w:t>Sale of the item in the Museum gift shop or for fundraisers</w:t>
      </w:r>
    </w:p>
    <w:p w14:paraId="71F90EBC" w14:textId="29CB99BC" w:rsidR="0048567D" w:rsidRDefault="00AA1FA7">
      <w:pPr>
        <w:numPr>
          <w:ilvl w:val="0"/>
          <w:numId w:val="3"/>
        </w:numPr>
        <w:pBdr>
          <w:top w:val="nil"/>
          <w:left w:val="nil"/>
          <w:bottom w:val="nil"/>
          <w:right w:val="nil"/>
          <w:between w:val="nil"/>
        </w:pBdr>
        <w:rPr>
          <w:color w:val="000000"/>
        </w:rPr>
      </w:pPr>
      <w:r>
        <w:rPr>
          <w:rFonts w:ascii="Amasis MT Pro" w:eastAsia="Amasis MT Pro" w:hAnsi="Amasis MT Pro" w:cs="Amasis MT Pro"/>
          <w:color w:val="000000"/>
        </w:rPr>
        <w:t>Disposal of the object if its condition is highly deteriorated</w:t>
      </w:r>
    </w:p>
    <w:p w14:paraId="7AB74040" w14:textId="7C7750CE" w:rsidR="0048567D" w:rsidRDefault="00AA1FA7">
      <w:pPr>
        <w:rPr>
          <w:rFonts w:ascii="Amasis MT Pro" w:eastAsia="Amasis MT Pro" w:hAnsi="Amasis MT Pro" w:cs="Amasis MT Pro"/>
        </w:rPr>
      </w:pPr>
      <w:r>
        <w:rPr>
          <w:rFonts w:ascii="Amasis MT Pro" w:eastAsia="Amasis MT Pro" w:hAnsi="Amasis MT Pro" w:cs="Amasis MT Pro"/>
        </w:rPr>
        <w:t>Use of funds</w:t>
      </w:r>
    </w:p>
    <w:p w14:paraId="6328BE20" w14:textId="2FF75CBE" w:rsidR="0048567D" w:rsidRDefault="00AA1FA7">
      <w:pPr>
        <w:rPr>
          <w:rFonts w:ascii="Amasis MT Pro" w:eastAsia="Amasis MT Pro" w:hAnsi="Amasis MT Pro" w:cs="Amasis MT Pro"/>
        </w:rPr>
      </w:pPr>
      <w:r>
        <w:rPr>
          <w:rFonts w:ascii="Amasis MT Pro" w:eastAsia="Amasis MT Pro" w:hAnsi="Amasis MT Pro" w:cs="Amasis MT Pro"/>
        </w:rPr>
        <w:t>Any monies accumulated through the sale of non-accessioned acquisitions or deaccessioned items will be categorized as Gift Shop Revenue and used as unrestricted funds.</w:t>
      </w:r>
    </w:p>
    <w:p w14:paraId="2D12BA9A" w14:textId="77777777" w:rsidR="0048567D" w:rsidRDefault="00AA1FA7">
      <w:pPr>
        <w:rPr>
          <w:rFonts w:ascii="Amasis MT Pro" w:eastAsia="Amasis MT Pro" w:hAnsi="Amasis MT Pro" w:cs="Amasis MT Pro"/>
        </w:rPr>
      </w:pPr>
      <w:r>
        <w:rPr>
          <w:rFonts w:ascii="Amasis MT Pro" w:eastAsia="Amasis MT Pro" w:hAnsi="Amasis MT Pro" w:cs="Amasis MT Pro"/>
        </w:rPr>
        <w:t>Documentation</w:t>
      </w:r>
    </w:p>
    <w:p w14:paraId="5618E2DD" w14:textId="13C41859" w:rsidR="007531BC" w:rsidRDefault="00AA1FA7">
      <w:pPr>
        <w:rPr>
          <w:rFonts w:ascii="Amasis MT Pro" w:eastAsia="Amasis MT Pro" w:hAnsi="Amasis MT Pro" w:cs="Amasis MT Pro"/>
        </w:rPr>
      </w:pPr>
      <w:r>
        <w:rPr>
          <w:rFonts w:ascii="Amasis MT Pro" w:eastAsia="Amasis MT Pro" w:hAnsi="Amasis MT Pro" w:cs="Amasis MT Pro"/>
        </w:rPr>
        <w:t xml:space="preserve">Only objects that clearly belong to Putnam County Museum will be considered for </w:t>
      </w:r>
      <w:proofErr w:type="gramStart"/>
      <w:r>
        <w:rPr>
          <w:rFonts w:ascii="Amasis MT Pro" w:eastAsia="Amasis MT Pro" w:hAnsi="Amasis MT Pro" w:cs="Amasis MT Pro"/>
        </w:rPr>
        <w:t>deaccessioning</w:t>
      </w:r>
      <w:proofErr w:type="gramEnd"/>
      <w:r>
        <w:rPr>
          <w:rFonts w:ascii="Amasis MT Pro" w:eastAsia="Amasis MT Pro" w:hAnsi="Amasis MT Pro" w:cs="Amasis MT Pro"/>
        </w:rPr>
        <w:t>. Proper documentation of each deaccessioned object will be held in the Museum’s collection records.</w:t>
      </w:r>
    </w:p>
    <w:p w14:paraId="02DCBCEE" w14:textId="33F6A79B" w:rsidR="007531BC" w:rsidRDefault="009014EC">
      <w:pPr>
        <w:rPr>
          <w:rFonts w:ascii="Amasis MT Pro" w:eastAsia="Amasis MT Pro" w:hAnsi="Amasis MT Pro" w:cs="Amasis MT Pro"/>
        </w:rPr>
      </w:pPr>
      <w:r>
        <w:rPr>
          <w:rFonts w:ascii="Amasis MT Pro" w:eastAsia="Amasis MT Pro" w:hAnsi="Amasis MT Pro" w:cs="Amasis MT Pro"/>
        </w:rPr>
        <w:pict w14:anchorId="6AB4C501">
          <v:rect id="_x0000_i1050" style="width:435.25pt;height:1pt" o:hrpct="930" o:hrstd="t" o:hrnoshade="t" o:hr="t" fillcolor="black [3213]" stroked="f"/>
        </w:pict>
      </w:r>
    </w:p>
    <w:p w14:paraId="20D7CE74" w14:textId="64684589" w:rsidR="007531BC" w:rsidRPr="009014EC" w:rsidRDefault="009014EC" w:rsidP="009014EC">
      <w:pPr>
        <w:jc w:val="center"/>
        <w:rPr>
          <w:rFonts w:ascii="Amasis MT Pro" w:eastAsia="Amasis MT Pro" w:hAnsi="Amasis MT Pro" w:cs="Amasis MT Pro"/>
          <w:i/>
          <w:iCs/>
        </w:rPr>
      </w:pPr>
      <w:r w:rsidRPr="009014EC">
        <w:rPr>
          <w:rFonts w:ascii="Amasis MT Pro" w:eastAsia="Amasis MT Pro" w:hAnsi="Amasis MT Pro" w:cs="Amasis MT Pro"/>
          <w:i/>
          <w:iCs/>
        </w:rPr>
        <w:t xml:space="preserve">This policy </w:t>
      </w:r>
      <w:r w:rsidR="00AA1FA7">
        <w:rPr>
          <w:rFonts w:ascii="Amasis MT Pro" w:eastAsia="Amasis MT Pro" w:hAnsi="Amasis MT Pro" w:cs="Amasis MT Pro"/>
          <w:i/>
          <w:iCs/>
        </w:rPr>
        <w:t>was</w:t>
      </w:r>
      <w:r w:rsidRPr="009014EC">
        <w:rPr>
          <w:rFonts w:ascii="Amasis MT Pro" w:eastAsia="Amasis MT Pro" w:hAnsi="Amasis MT Pro" w:cs="Amasis MT Pro"/>
          <w:i/>
          <w:iCs/>
        </w:rPr>
        <w:t xml:space="preserve"> approved by the Governance Committee on 1/14/2025.</w:t>
      </w:r>
    </w:p>
    <w:p w14:paraId="1D28C45F" w14:textId="77777777" w:rsidR="009014EC" w:rsidRDefault="009014EC">
      <w:pPr>
        <w:rPr>
          <w:rFonts w:ascii="Amasis MT Pro" w:eastAsia="Amasis MT Pro" w:hAnsi="Amasis MT Pro" w:cs="Amasis MT Pro"/>
        </w:rPr>
      </w:pPr>
    </w:p>
    <w:p w14:paraId="466C9639" w14:textId="14A3BFE5" w:rsidR="0048567D" w:rsidRDefault="009014EC">
      <w:pPr>
        <w:rPr>
          <w:rFonts w:ascii="Amasis MT Pro" w:eastAsia="Amasis MT Pro" w:hAnsi="Amasis MT Pro" w:cs="Amasis MT Pro"/>
          <w:b/>
        </w:rPr>
      </w:pPr>
      <w:r w:rsidRPr="007531BC">
        <w:rPr>
          <w:rFonts w:ascii="Amasis MT Pro" w:eastAsia="Amasis MT Pro" w:hAnsi="Amasis MT Pro" w:cs="Amasis MT Pro"/>
          <w:noProof/>
        </w:rPr>
        <mc:AlternateContent>
          <mc:Choice Requires="wps">
            <w:drawing>
              <wp:anchor distT="45720" distB="45720" distL="114300" distR="114300" simplePos="0" relativeHeight="251664384" behindDoc="0" locked="0" layoutInCell="1" allowOverlap="1" wp14:anchorId="5E5EAF20" wp14:editId="70BC7FE4">
                <wp:simplePos x="0" y="0"/>
                <wp:positionH relativeFrom="column">
                  <wp:posOffset>-104775</wp:posOffset>
                </wp:positionH>
                <wp:positionV relativeFrom="paragraph">
                  <wp:posOffset>245110</wp:posOffset>
                </wp:positionV>
                <wp:extent cx="2724150" cy="5334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533400"/>
                        </a:xfrm>
                        <a:prstGeom prst="rect">
                          <a:avLst/>
                        </a:prstGeom>
                        <a:solidFill>
                          <a:srgbClr val="FFFFFF"/>
                        </a:solidFill>
                        <a:ln w="9525">
                          <a:noFill/>
                          <a:miter lim="800000"/>
                          <a:headEnd/>
                          <a:tailEnd/>
                        </a:ln>
                      </wps:spPr>
                      <wps:txbx>
                        <w:txbxContent>
                          <w:p w14:paraId="196EE068" w14:textId="0FD83312" w:rsidR="007531BC" w:rsidRPr="007531BC" w:rsidRDefault="007531BC">
                            <w:pPr>
                              <w:rPr>
                                <w:sz w:val="16"/>
                                <w:szCs w:val="16"/>
                              </w:rPr>
                            </w:pPr>
                            <w:r w:rsidRPr="007531BC">
                              <w:rPr>
                                <w:sz w:val="16"/>
                                <w:szCs w:val="16"/>
                              </w:rPr>
                              <w:t>Curt Krominaker, President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5EAF20" id="_x0000_t202" coordsize="21600,21600" o:spt="202" path="m,l,21600r21600,l21600,xe">
                <v:stroke joinstyle="miter"/>
                <v:path gradientshapeok="t" o:connecttype="rect"/>
              </v:shapetype>
              <v:shape id="Text Box 2" o:spid="_x0000_s1026" type="#_x0000_t202" style="position:absolute;margin-left:-8.25pt;margin-top:19.3pt;width:214.5pt;height:4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" stroked="f">
                <v:textbox>
                  <w:txbxContent>
                    <w:p w14:paraId="196EE068" w14:textId="0FD83312" w:rsidR="007531BC" w:rsidRPr="007531BC" w:rsidRDefault="007531BC">
                      <w:pPr>
                        <w:rPr>
                          <w:sz w:val="16"/>
                          <w:szCs w:val="16"/>
                        </w:rPr>
                      </w:pPr>
                      <w:r w:rsidRPr="007531BC">
                        <w:rPr>
                          <w:sz w:val="16"/>
                          <w:szCs w:val="16"/>
                        </w:rPr>
                        <w:t>Curt Krominaker, President</w:t>
                      </w:r>
                    </w:p>
                  </w:txbxContent>
                </v:textbox>
                <w10:wrap type="square"/>
              </v:shape>
            </w:pict>
          </mc:Fallback>
        </mc:AlternateContent>
      </w:r>
      <w:r w:rsidR="007531BC" w:rsidRPr="007531BC">
        <w:rPr>
          <w:rFonts w:ascii="Amasis MT Pro" w:eastAsia="Amasis MT Pro" w:hAnsi="Amasis MT Pro" w:cs="Amasis MT Pro"/>
          <w:noProof/>
        </w:rPr>
        <mc:AlternateContent>
          <mc:Choice Requires="wps">
            <w:drawing>
              <wp:anchor distT="45720" distB="45720" distL="114300" distR="114300" simplePos="0" relativeHeight="251666432" behindDoc="0" locked="0" layoutInCell="1" allowOverlap="1" wp14:anchorId="04EA0C4C" wp14:editId="4E8EC570">
                <wp:simplePos x="0" y="0"/>
                <wp:positionH relativeFrom="column">
                  <wp:posOffset>3390265</wp:posOffset>
                </wp:positionH>
                <wp:positionV relativeFrom="paragraph">
                  <wp:posOffset>235585</wp:posOffset>
                </wp:positionV>
                <wp:extent cx="2600325" cy="533400"/>
                <wp:effectExtent l="0" t="0" r="9525" b="0"/>
                <wp:wrapSquare wrapText="bothSides"/>
                <wp:docPr id="18428540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533400"/>
                        </a:xfrm>
                        <a:prstGeom prst="rect">
                          <a:avLst/>
                        </a:prstGeom>
                        <a:solidFill>
                          <a:srgbClr val="FFFFFF"/>
                        </a:solidFill>
                        <a:ln w="9525">
                          <a:noFill/>
                          <a:miter lim="800000"/>
                          <a:headEnd/>
                          <a:tailEnd/>
                        </a:ln>
                      </wps:spPr>
                      <wps:txbx>
                        <w:txbxContent>
                          <w:p w14:paraId="4FA5A7E9" w14:textId="396438DA" w:rsidR="007531BC" w:rsidRPr="007531BC" w:rsidRDefault="007531BC" w:rsidP="007531BC">
                            <w:pPr>
                              <w:rPr>
                                <w:sz w:val="16"/>
                                <w:szCs w:val="16"/>
                              </w:rPr>
                            </w:pPr>
                            <w:r>
                              <w:rPr>
                                <w:sz w:val="16"/>
                                <w:szCs w:val="16"/>
                              </w:rPr>
                              <w:t>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A0C4C" id="_x0000_s1027" type="#_x0000_t202" style="position:absolute;margin-left:266.95pt;margin-top:18.55pt;width:204.75pt;height:4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" stroked="f">
                <v:textbox>
                  <w:txbxContent>
                    <w:p w14:paraId="4FA5A7E9" w14:textId="396438DA" w:rsidR="007531BC" w:rsidRPr="007531BC" w:rsidRDefault="007531BC" w:rsidP="007531BC">
                      <w:pPr>
                        <w:rPr>
                          <w:sz w:val="16"/>
                          <w:szCs w:val="16"/>
                        </w:rPr>
                      </w:pPr>
                      <w:r>
                        <w:rPr>
                          <w:sz w:val="16"/>
                          <w:szCs w:val="16"/>
                        </w:rPr>
                        <w:t>Date</w:t>
                      </w:r>
                    </w:p>
                  </w:txbxContent>
                </v:textbox>
                <w10:wrap type="square"/>
              </v:shape>
            </w:pict>
          </mc:Fallback>
        </mc:AlternateContent>
      </w:r>
      <w:r w:rsidR="007531BC">
        <w:rPr>
          <w:rFonts w:ascii="Amasis MT Pro" w:eastAsia="Amasis MT Pro" w:hAnsi="Amasis MT Pro" w:cs="Amasis MT Pro"/>
          <w:noProof/>
        </w:rPr>
        <mc:AlternateContent>
          <mc:Choice Requires="aink">
            <w:drawing>
              <wp:anchor distT="0" distB="0" distL="114300" distR="114300" simplePos="0" relativeHeight="251662336" behindDoc="0" locked="0" layoutInCell="1" allowOverlap="1" wp14:anchorId="2FC40D06" wp14:editId="77220F38">
                <wp:simplePos x="0" y="0"/>
                <wp:positionH relativeFrom="column">
                  <wp:posOffset>3343170</wp:posOffset>
                </wp:positionH>
                <wp:positionV relativeFrom="paragraph">
                  <wp:posOffset>191725</wp:posOffset>
                </wp:positionV>
                <wp:extent cx="142200" cy="29520"/>
                <wp:effectExtent l="76200" t="76200" r="10795" b="85090"/>
                <wp:wrapNone/>
                <wp:docPr id="1905561759" name="Ink 4"/>
                <wp:cNvGraphicFramePr/>
                <a:graphic xmlns:a="http://schemas.openxmlformats.org/drawingml/2006/main">
                  <a:graphicData uri="http://schemas.microsoft.com/office/word/2010/wordprocessingInk">
                    <w14:contentPart bwMode="auto" r:id="rId8">
                      <w14:nvContentPartPr>
                        <w14:cNvContentPartPr/>
                      </w14:nvContentPartPr>
                      <w14:xfrm>
                        <a:off x="0" y="0"/>
                        <a:ext cx="142200" cy="29520"/>
                      </w14:xfrm>
                    </w14:contentPart>
                  </a:graphicData>
                </a:graphic>
              </wp:anchor>
            </w:drawing>
          </mc:Choice>
          <mc:Fallback>
            <w:drawing>
              <wp:anchor distT="0" distB="0" distL="114300" distR="114300" simplePos="0" relativeHeight="251662336" behindDoc="0" locked="0" layoutInCell="1" allowOverlap="1" wp14:anchorId="2FC40D06" wp14:editId="77220F38">
                <wp:simplePos x="0" y="0"/>
                <wp:positionH relativeFrom="column">
                  <wp:posOffset>3343170</wp:posOffset>
                </wp:positionH>
                <wp:positionV relativeFrom="paragraph">
                  <wp:posOffset>191725</wp:posOffset>
                </wp:positionV>
                <wp:extent cx="142200" cy="29520"/>
                <wp:effectExtent l="76200" t="76200" r="10795" b="85090"/>
                <wp:wrapNone/>
                <wp:docPr id="1905561759" name="Ink 4"/>
                <wp:cNvGraphicFramePr/>
                <a:graphic xmlns:a="http://schemas.openxmlformats.org/drawingml/2006/main">
                  <a:graphicData uri="http://schemas.openxmlformats.org/drawingml/2006/picture">
                    <pic:pic xmlns:pic="http://schemas.openxmlformats.org/drawingml/2006/picture">
                      <pic:nvPicPr>
                        <pic:cNvPr id="1905561759" name="Ink 4"/>
                        <pic:cNvPicPr/>
                      </pic:nvPicPr>
                      <pic:blipFill>
                        <a:blip r:embed="rId9"/>
                        <a:stretch>
                          <a:fillRect/>
                        </a:stretch>
                      </pic:blipFill>
                      <pic:spPr>
                        <a:xfrm>
                          <a:off x="0" y="0"/>
                          <a:ext cx="267840" cy="785160"/>
                        </a:xfrm>
                        <a:prstGeom prst="rect">
                          <a:avLst/>
                        </a:prstGeom>
                      </pic:spPr>
                    </pic:pic>
                  </a:graphicData>
                </a:graphic>
              </wp:anchor>
            </w:drawing>
          </mc:Fallback>
        </mc:AlternateContent>
      </w:r>
      <w:r w:rsidR="007531BC">
        <w:rPr>
          <w:rFonts w:ascii="Amasis MT Pro" w:eastAsia="Amasis MT Pro" w:hAnsi="Amasis MT Pro" w:cs="Amasis MT Pro"/>
          <w:noProof/>
        </w:rPr>
        <mc:AlternateContent>
          <mc:Choice Requires="aink">
            <w:drawing>
              <wp:anchor distT="0" distB="0" distL="114300" distR="114300" simplePos="0" relativeHeight="251661312" behindDoc="0" locked="0" layoutInCell="1" allowOverlap="1" wp14:anchorId="65F1CA9F" wp14:editId="267131F6">
                <wp:simplePos x="0" y="0"/>
                <wp:positionH relativeFrom="column">
                  <wp:posOffset>3324090</wp:posOffset>
                </wp:positionH>
                <wp:positionV relativeFrom="paragraph">
                  <wp:posOffset>106045</wp:posOffset>
                </wp:positionV>
                <wp:extent cx="360" cy="360"/>
                <wp:effectExtent l="76200" t="76200" r="38100" b="76200"/>
                <wp:wrapNone/>
                <wp:docPr id="218693637" name="Ink 3"/>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drawing>
              <wp:anchor distT="0" distB="0" distL="114300" distR="114300" simplePos="0" relativeHeight="251661312" behindDoc="0" locked="0" layoutInCell="1" allowOverlap="1" wp14:anchorId="65F1CA9F" wp14:editId="267131F6">
                <wp:simplePos x="0" y="0"/>
                <wp:positionH relativeFrom="column">
                  <wp:posOffset>3324090</wp:posOffset>
                </wp:positionH>
                <wp:positionV relativeFrom="paragraph">
                  <wp:posOffset>106045</wp:posOffset>
                </wp:positionV>
                <wp:extent cx="360" cy="360"/>
                <wp:effectExtent l="76200" t="76200" r="38100" b="76200"/>
                <wp:wrapNone/>
                <wp:docPr id="218693637" name="Ink 3"/>
                <wp:cNvGraphicFramePr/>
                <a:graphic xmlns:a="http://schemas.openxmlformats.org/drawingml/2006/main">
                  <a:graphicData uri="http://schemas.openxmlformats.org/drawingml/2006/picture">
                    <pic:pic xmlns:pic="http://schemas.openxmlformats.org/drawingml/2006/picture">
                      <pic:nvPicPr>
                        <pic:cNvPr id="218693637" name="Ink 3"/>
                        <pic:cNvPicPr/>
                      </pic:nvPicPr>
                      <pic:blipFill>
                        <a:blip r:embed="rId11"/>
                        <a:stretch>
                          <a:fillRect/>
                        </a:stretch>
                      </pic:blipFill>
                      <pic:spPr>
                        <a:xfrm>
                          <a:off x="0" y="0"/>
                          <a:ext cx="126000" cy="756000"/>
                        </a:xfrm>
                        <a:prstGeom prst="rect">
                          <a:avLst/>
                        </a:prstGeom>
                      </pic:spPr>
                    </pic:pic>
                  </a:graphicData>
                </a:graphic>
              </wp:anchor>
            </w:drawing>
          </mc:Fallback>
        </mc:AlternateContent>
      </w:r>
      <w:r w:rsidR="007531BC">
        <w:rPr>
          <w:rFonts w:ascii="Amasis MT Pro" w:eastAsia="Amasis MT Pro" w:hAnsi="Amasis MT Pro" w:cs="Amasis MT Pro"/>
          <w:noProof/>
        </w:rPr>
        <mc:AlternateContent>
          <mc:Choice Requires="wpi">
            <w:drawing>
              <wp:anchor distT="0" distB="0" distL="114300" distR="114300" simplePos="0" relativeHeight="251660288" behindDoc="0" locked="0" layoutInCell="1" allowOverlap="1" wp14:anchorId="70545D09" wp14:editId="19271142">
                <wp:simplePos x="0" y="0"/>
                <wp:positionH relativeFrom="column">
                  <wp:posOffset>2714610</wp:posOffset>
                </wp:positionH>
                <wp:positionV relativeFrom="paragraph">
                  <wp:posOffset>182005</wp:posOffset>
                </wp:positionV>
                <wp:extent cx="752475" cy="57150"/>
                <wp:effectExtent l="133350" t="133350" r="142875" b="133350"/>
                <wp:wrapNone/>
                <wp:docPr id="1298994742" name="Ink 2"/>
                <wp:cNvGraphicFramePr/>
                <a:graphic xmlns:a="http://schemas.openxmlformats.org/drawingml/2006/main">
                  <a:graphicData uri="http://schemas.microsoft.com/office/word/2010/wordprocessingInk">
                    <w14:contentPart bwMode="auto" r:id="rId12">
                      <w14:nvContentPartPr>
                        <w14:cNvContentPartPr/>
                      </w14:nvContentPartPr>
                      <w14:xfrm>
                        <a:off x="0" y="0"/>
                        <a:ext cx="752475" cy="57150"/>
                      </w14:xfrm>
                    </w14:contentPart>
                  </a:graphicData>
                </a:graphic>
                <wp14:sizeRelH relativeFrom="margin">
                  <wp14:pctWidth>0</wp14:pctWidth>
                </wp14:sizeRelH>
                <wp14:sizeRelV relativeFrom="margin">
                  <wp14:pctHeight>0</wp14:pctHeight>
                </wp14:sizeRelV>
              </wp:anchor>
            </w:drawing>
          </mc:Choice>
          <mc:Fallback>
            <w:pict>
              <v:shapetype w14:anchorId="5AA4425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208.8pt;margin-top:9.45pt;width:69.15pt;height:1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">
                <v:imagedata r:id="rId13" o:title=""/>
              </v:shape>
            </w:pict>
          </mc:Fallback>
        </mc:AlternateContent>
      </w:r>
      <w:r w:rsidR="007531BC">
        <w:rPr>
          <w:rFonts w:ascii="Amasis MT Pro" w:eastAsia="Amasis MT Pro" w:hAnsi="Amasis MT Pro" w:cs="Amasis MT Pro"/>
        </w:rPr>
        <w:pict w14:anchorId="5B2CD639">
          <v:rect id="_x0000_i1048" style="width:435.25pt;height:1pt" o:hrpct="930" o:hrstd="t" o:hrnoshade="t" o:hr="t" fillcolor="black [3213]" stroked="f"/>
        </w:pict>
      </w:r>
    </w:p>
    <w:sectPr w:rsidR="0048567D">
      <w:headerReference w:type="default" r:id="rId14"/>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21556D" w14:textId="77777777" w:rsidR="00AA1FA7" w:rsidRDefault="00AA1FA7">
      <w:pPr>
        <w:spacing w:after="0" w:line="240" w:lineRule="auto"/>
      </w:pPr>
      <w:r>
        <w:separator/>
      </w:r>
    </w:p>
  </w:endnote>
  <w:endnote w:type="continuationSeparator" w:id="0">
    <w:p w14:paraId="6039CEE2" w14:textId="77777777" w:rsidR="00AA1FA7" w:rsidRDefault="00AA1F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masis MT Pro">
    <w:charset w:val="00"/>
    <w:family w:val="roman"/>
    <w:pitch w:val="variable"/>
    <w:sig w:usb0="A00000AF" w:usb1="4000205B" w:usb2="00000000" w:usb3="00000000" w:csb0="00000093" w:csb1="00000000"/>
    <w:embedRegular r:id="rId1" w:fontKey="{8EFD0457-EBAD-4D01-9C67-2B54E2959887}"/>
    <w:embedBold r:id="rId2" w:fontKey="{1C06228B-753D-4B05-8DC5-D6F01E8DC847}"/>
    <w:embedItalic r:id="rId3" w:fontKey="{DD128FF6-7990-4F70-AE6A-5F80E0BD91CB}"/>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4C0F22BF-76C6-4BB2-B292-621B19D81EE3}"/>
  </w:font>
  <w:font w:name="Libre Baskerville">
    <w:charset w:val="00"/>
    <w:family w:val="auto"/>
    <w:pitch w:val="variable"/>
    <w:sig w:usb0="A00000BF" w:usb1="5000005B" w:usb2="00000000" w:usb3="00000000" w:csb0="00000093" w:csb1="00000000"/>
    <w:embedRegular r:id="rId5" w:fontKey="{257FD1D8-5CC1-4B3C-A84E-2AC0CA653432}"/>
    <w:embedItalic r:id="rId6" w:fontKey="{357F1021-4021-480C-9C0C-91754D4BD319}"/>
  </w:font>
  <w:font w:name="Calibri Light">
    <w:panose1 w:val="020F0302020204030204"/>
    <w:charset w:val="00"/>
    <w:family w:val="swiss"/>
    <w:pitch w:val="variable"/>
    <w:sig w:usb0="E4002EFF" w:usb1="C200247B" w:usb2="00000009" w:usb3="00000000" w:csb0="000001FF" w:csb1="00000000"/>
    <w:embedRegular r:id="rId7" w:fontKey="{D8B2C324-90BF-429F-9420-438982893C3A}"/>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8" w:fontKey="{33B12444-434B-4CAE-9368-2D6686304352}"/>
    <w:embedItalic r:id="rId9" w:fontKey="{55B1D58F-3436-46E9-8607-2AF1DAE547DB}"/>
  </w:font>
  <w:font w:name="Balthazar">
    <w:charset w:val="00"/>
    <w:family w:val="auto"/>
    <w:pitch w:val="default"/>
    <w:embedRegular r:id="rId10" w:fontKey="{EDC1C9F4-DBED-4DC9-AD73-5FC1E023DECA}"/>
    <w:embedBold r:id="rId11" w:fontKey="{B2E6E5CF-72BD-4F76-92B9-48CFDEF9EB81}"/>
  </w:font>
  <w:font w:name="Nova Mono">
    <w:charset w:val="00"/>
    <w:family w:val="auto"/>
    <w:pitch w:val="default"/>
    <w:embedRegular r:id="rId12" w:fontKey="{8F626156-925E-481B-883A-64800542E4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85DDB" w14:textId="77777777" w:rsidR="0048567D" w:rsidRDefault="00AA1FA7">
    <w:pPr>
      <w:pBdr>
        <w:top w:val="nil"/>
        <w:left w:val="nil"/>
        <w:bottom w:val="nil"/>
        <w:right w:val="nil"/>
        <w:between w:val="nil"/>
      </w:pBdr>
      <w:tabs>
        <w:tab w:val="center" w:pos="4680"/>
        <w:tab w:val="right" w:pos="9360"/>
      </w:tabs>
      <w:spacing w:after="0" w:line="240" w:lineRule="auto"/>
      <w:jc w:val="center"/>
      <w:rPr>
        <w:rFonts w:ascii="Balthazar" w:eastAsia="Balthazar" w:hAnsi="Balthazar" w:cs="Balthazar"/>
        <w:color w:val="000000"/>
        <w:sz w:val="22"/>
        <w:szCs w:val="22"/>
      </w:rPr>
    </w:pPr>
    <w:r>
      <w:rPr>
        <w:rFonts w:ascii="Balthazar" w:eastAsia="Balthazar" w:hAnsi="Balthazar" w:cs="Balthazar"/>
        <w:color w:val="000000"/>
        <w:sz w:val="22"/>
        <w:szCs w:val="22"/>
      </w:rPr>
      <w:t xml:space="preserve">Putnam County Museum </w:t>
    </w:r>
    <w:sdt>
      <w:sdtPr>
        <w:tag w:val="goog_rdk_0"/>
        <w:id w:val="-152142258"/>
      </w:sdtPr>
      <w:sdtEndPr/>
      <w:sdtContent>
        <w:r>
          <w:rPr>
            <w:rFonts w:ascii="Nova Mono" w:eastAsia="Nova Mono" w:hAnsi="Nova Mono" w:cs="Nova Mono"/>
            <w:color w:val="000000"/>
            <w:sz w:val="22"/>
            <w:szCs w:val="22"/>
          </w:rPr>
          <w:t>∙</w:t>
        </w:r>
      </w:sdtContent>
    </w:sdt>
    <w:r>
      <w:rPr>
        <w:rFonts w:ascii="Balthazar" w:eastAsia="Balthazar" w:hAnsi="Balthazar" w:cs="Balthazar"/>
        <w:color w:val="000000"/>
        <w:sz w:val="22"/>
        <w:szCs w:val="22"/>
      </w:rPr>
      <w:t xml:space="preserve"> 1105 North Jackson Street</w:t>
    </w:r>
  </w:p>
  <w:p w14:paraId="41855228" w14:textId="77777777" w:rsidR="0048567D" w:rsidRDefault="00AA1FA7">
    <w:pPr>
      <w:pBdr>
        <w:top w:val="nil"/>
        <w:left w:val="nil"/>
        <w:bottom w:val="nil"/>
        <w:right w:val="nil"/>
        <w:between w:val="nil"/>
      </w:pBdr>
      <w:tabs>
        <w:tab w:val="center" w:pos="4680"/>
        <w:tab w:val="right" w:pos="9360"/>
      </w:tabs>
      <w:spacing w:after="0" w:line="240" w:lineRule="auto"/>
      <w:jc w:val="center"/>
      <w:rPr>
        <w:rFonts w:ascii="Balthazar" w:eastAsia="Balthazar" w:hAnsi="Balthazar" w:cs="Balthazar"/>
        <w:color w:val="000000"/>
        <w:sz w:val="22"/>
        <w:szCs w:val="22"/>
      </w:rPr>
    </w:pPr>
    <w:r>
      <w:rPr>
        <w:rFonts w:ascii="Balthazar" w:eastAsia="Balthazar" w:hAnsi="Balthazar" w:cs="Balthazar"/>
        <w:color w:val="000000"/>
        <w:sz w:val="22"/>
        <w:szCs w:val="22"/>
      </w:rPr>
      <w:t xml:space="preserve">(765) 653-8419 </w:t>
    </w:r>
    <w:sdt>
      <w:sdtPr>
        <w:tag w:val="goog_rdk_1"/>
        <w:id w:val="-551849673"/>
      </w:sdtPr>
      <w:sdtEndPr/>
      <w:sdtContent>
        <w:r>
          <w:rPr>
            <w:rFonts w:ascii="Nova Mono" w:eastAsia="Nova Mono" w:hAnsi="Nova Mono" w:cs="Nova Mono"/>
            <w:color w:val="000000"/>
            <w:sz w:val="22"/>
            <w:szCs w:val="22"/>
          </w:rPr>
          <w:t>∙</w:t>
        </w:r>
      </w:sdtContent>
    </w:sdt>
    <w:r>
      <w:rPr>
        <w:rFonts w:ascii="Balthazar" w:eastAsia="Balthazar" w:hAnsi="Balthazar" w:cs="Balthazar"/>
        <w:color w:val="000000"/>
        <w:sz w:val="22"/>
        <w:szCs w:val="22"/>
      </w:rPr>
      <w:t xml:space="preserve"> www.putnamcountymuseum.org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D91C62" w14:textId="77777777" w:rsidR="00AA1FA7" w:rsidRDefault="00AA1FA7">
      <w:pPr>
        <w:spacing w:after="0" w:line="240" w:lineRule="auto"/>
      </w:pPr>
      <w:r>
        <w:separator/>
      </w:r>
    </w:p>
  </w:footnote>
  <w:footnote w:type="continuationSeparator" w:id="0">
    <w:p w14:paraId="45291611" w14:textId="77777777" w:rsidR="00AA1FA7" w:rsidRDefault="00AA1F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916B1" w14:textId="77777777" w:rsidR="0048567D" w:rsidRDefault="00AA1FA7">
    <w:pPr>
      <w:pBdr>
        <w:top w:val="nil"/>
        <w:left w:val="nil"/>
        <w:bottom w:val="nil"/>
        <w:right w:val="nil"/>
        <w:between w:val="nil"/>
      </w:pBdr>
      <w:tabs>
        <w:tab w:val="center" w:pos="4680"/>
        <w:tab w:val="right" w:pos="9360"/>
      </w:tabs>
      <w:spacing w:after="0" w:line="240" w:lineRule="auto"/>
      <w:rPr>
        <w:rFonts w:ascii="Balthazar" w:eastAsia="Balthazar" w:hAnsi="Balthazar" w:cs="Balthazar"/>
        <w:b/>
        <w:color w:val="000000"/>
        <w:sz w:val="52"/>
        <w:szCs w:val="52"/>
      </w:rPr>
    </w:pPr>
    <w:r>
      <w:rPr>
        <w:rFonts w:ascii="Balthazar" w:eastAsia="Balthazar" w:hAnsi="Balthazar" w:cs="Balthazar"/>
        <w:color w:val="000000"/>
        <w:sz w:val="52"/>
        <w:szCs w:val="52"/>
      </w:rPr>
      <w:t>Putnam County Museum</w:t>
    </w:r>
    <w:r>
      <w:rPr>
        <w:noProof/>
      </w:rPr>
      <w:drawing>
        <wp:anchor distT="0" distB="0" distL="114300" distR="114300" simplePos="0" relativeHeight="251658240" behindDoc="0" locked="0" layoutInCell="1" hidden="0" allowOverlap="1" wp14:anchorId="358F04EE" wp14:editId="4ABCE857">
          <wp:simplePos x="0" y="0"/>
          <wp:positionH relativeFrom="column">
            <wp:posOffset>704850</wp:posOffset>
          </wp:positionH>
          <wp:positionV relativeFrom="paragraph">
            <wp:posOffset>0</wp:posOffset>
          </wp:positionV>
          <wp:extent cx="476250" cy="433070"/>
          <wp:effectExtent l="0" t="0" r="0" b="0"/>
          <wp:wrapSquare wrapText="bothSides" distT="0" distB="0" distL="114300" distR="114300"/>
          <wp:docPr id="20073668" name="image1.jpg" descr="A logo of a museu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logo of a museum&#10;&#10;Description automatically generated"/>
                  <pic:cNvPicPr preferRelativeResize="0"/>
                </pic:nvPicPr>
                <pic:blipFill>
                  <a:blip r:embed="rId1"/>
                  <a:srcRect/>
                  <a:stretch>
                    <a:fillRect/>
                  </a:stretch>
                </pic:blipFill>
                <pic:spPr>
                  <a:xfrm>
                    <a:off x="0" y="0"/>
                    <a:ext cx="476250" cy="433070"/>
                  </a:xfrm>
                  <a:prstGeom prst="rect">
                    <a:avLst/>
                  </a:prstGeom>
                  <a:ln/>
                </pic:spPr>
              </pic:pic>
            </a:graphicData>
          </a:graphic>
        </wp:anchor>
      </w:drawing>
    </w:r>
  </w:p>
  <w:p w14:paraId="6C885838" w14:textId="77777777" w:rsidR="0048567D" w:rsidRDefault="0048567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9B168E"/>
    <w:multiLevelType w:val="multilevel"/>
    <w:tmpl w:val="E7FEA29A"/>
    <w:lvl w:ilvl="0">
      <w:start w:val="1"/>
      <w:numFmt w:val="bullet"/>
      <w:lvlText w:val="-"/>
      <w:lvlJc w:val="left"/>
      <w:pPr>
        <w:ind w:left="720" w:hanging="360"/>
      </w:pPr>
      <w:rPr>
        <w:rFonts w:ascii="Amasis MT Pro" w:eastAsia="Amasis MT Pro" w:hAnsi="Amasis MT Pro" w:cs="Amasis MT Pr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4FD3D7D"/>
    <w:multiLevelType w:val="multilevel"/>
    <w:tmpl w:val="26CCBD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261695A"/>
    <w:multiLevelType w:val="multilevel"/>
    <w:tmpl w:val="D1BA60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686722D"/>
    <w:multiLevelType w:val="multilevel"/>
    <w:tmpl w:val="D6AC3F24"/>
    <w:lvl w:ilvl="0">
      <w:start w:val="1"/>
      <w:numFmt w:val="bullet"/>
      <w:lvlText w:val="-"/>
      <w:lvlJc w:val="left"/>
      <w:pPr>
        <w:ind w:left="720" w:hanging="360"/>
      </w:pPr>
      <w:rPr>
        <w:rFonts w:ascii="Amasis MT Pro" w:eastAsia="Amasis MT Pro" w:hAnsi="Amasis MT Pro" w:cs="Amasis MT Pr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33706598">
    <w:abstractNumId w:val="2"/>
  </w:num>
  <w:num w:numId="2" w16cid:durableId="1256406301">
    <w:abstractNumId w:val="1"/>
  </w:num>
  <w:num w:numId="3" w16cid:durableId="1510683530">
    <w:abstractNumId w:val="0"/>
  </w:num>
  <w:num w:numId="4" w16cid:durableId="1595416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67D"/>
    <w:rsid w:val="0048567D"/>
    <w:rsid w:val="007531BC"/>
    <w:rsid w:val="00807773"/>
    <w:rsid w:val="0087016C"/>
    <w:rsid w:val="009014EC"/>
    <w:rsid w:val="00AA1F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13FA0"/>
  <w15:docId w15:val="{2D27B5C0-8107-42D5-8D8D-74236F270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re Baskerville" w:eastAsia="Libre Baskerville" w:hAnsi="Libre Baskerville" w:cs="Libre Baskerville"/>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732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4732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47327"/>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47327"/>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47327"/>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C47327"/>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47327"/>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47327"/>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47327"/>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473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4732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4732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47327"/>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47327"/>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C47327"/>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C4732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4732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4732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47327"/>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C4732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rFonts w:ascii="Calibri" w:eastAsia="Calibri" w:hAnsi="Calibri" w:cs="Calibri"/>
      <w:color w:val="595959"/>
      <w:sz w:val="28"/>
      <w:szCs w:val="28"/>
    </w:rPr>
  </w:style>
  <w:style w:type="character" w:customStyle="1" w:styleId="SubtitleChar">
    <w:name w:val="Subtitle Char"/>
    <w:basedOn w:val="DefaultParagraphFont"/>
    <w:link w:val="Subtitle"/>
    <w:uiPriority w:val="11"/>
    <w:rsid w:val="00C47327"/>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47327"/>
    <w:pPr>
      <w:spacing w:before="160"/>
      <w:jc w:val="center"/>
    </w:pPr>
    <w:rPr>
      <w:i/>
      <w:iCs/>
      <w:color w:val="404040" w:themeColor="text1" w:themeTint="BF"/>
    </w:rPr>
  </w:style>
  <w:style w:type="character" w:customStyle="1" w:styleId="QuoteChar">
    <w:name w:val="Quote Char"/>
    <w:basedOn w:val="DefaultParagraphFont"/>
    <w:link w:val="Quote"/>
    <w:uiPriority w:val="29"/>
    <w:rsid w:val="00C47327"/>
    <w:rPr>
      <w:i/>
      <w:iCs/>
      <w:color w:val="404040" w:themeColor="text1" w:themeTint="BF"/>
    </w:rPr>
  </w:style>
  <w:style w:type="paragraph" w:styleId="ListParagraph">
    <w:name w:val="List Paragraph"/>
    <w:basedOn w:val="Normal"/>
    <w:uiPriority w:val="34"/>
    <w:qFormat/>
    <w:rsid w:val="00C47327"/>
    <w:pPr>
      <w:ind w:left="720"/>
      <w:contextualSpacing/>
    </w:pPr>
  </w:style>
  <w:style w:type="character" w:styleId="IntenseEmphasis">
    <w:name w:val="Intense Emphasis"/>
    <w:basedOn w:val="DefaultParagraphFont"/>
    <w:uiPriority w:val="21"/>
    <w:qFormat/>
    <w:rsid w:val="00C47327"/>
    <w:rPr>
      <w:i/>
      <w:iCs/>
      <w:color w:val="2F5496" w:themeColor="accent1" w:themeShade="BF"/>
    </w:rPr>
  </w:style>
  <w:style w:type="paragraph" w:styleId="IntenseQuote">
    <w:name w:val="Intense Quote"/>
    <w:basedOn w:val="Normal"/>
    <w:next w:val="Normal"/>
    <w:link w:val="IntenseQuoteChar"/>
    <w:uiPriority w:val="30"/>
    <w:qFormat/>
    <w:rsid w:val="00C4732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47327"/>
    <w:rPr>
      <w:i/>
      <w:iCs/>
      <w:color w:val="2F5496" w:themeColor="accent1" w:themeShade="BF"/>
    </w:rPr>
  </w:style>
  <w:style w:type="character" w:styleId="IntenseReference">
    <w:name w:val="Intense Reference"/>
    <w:basedOn w:val="DefaultParagraphFont"/>
    <w:uiPriority w:val="32"/>
    <w:qFormat/>
    <w:rsid w:val="00C47327"/>
    <w:rPr>
      <w:b/>
      <w:bCs/>
      <w:smallCaps/>
      <w:color w:val="2F5496" w:themeColor="accent1" w:themeShade="BF"/>
      <w:spacing w:val="5"/>
    </w:rPr>
  </w:style>
  <w:style w:type="paragraph" w:styleId="Header">
    <w:name w:val="header"/>
    <w:basedOn w:val="Normal"/>
    <w:link w:val="HeaderChar"/>
    <w:uiPriority w:val="99"/>
    <w:unhideWhenUsed/>
    <w:rsid w:val="00C473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7327"/>
  </w:style>
  <w:style w:type="paragraph" w:styleId="Footer">
    <w:name w:val="footer"/>
    <w:basedOn w:val="Normal"/>
    <w:link w:val="FooterChar"/>
    <w:uiPriority w:val="99"/>
    <w:unhideWhenUsed/>
    <w:rsid w:val="00C473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7327"/>
  </w:style>
  <w:style w:type="paragraph" w:styleId="TOCHeading">
    <w:name w:val="TOC Heading"/>
    <w:basedOn w:val="Heading1"/>
    <w:next w:val="Normal"/>
    <w:uiPriority w:val="39"/>
    <w:unhideWhenUsed/>
    <w:qFormat/>
    <w:rsid w:val="00127EBA"/>
    <w:pPr>
      <w:spacing w:before="240" w:after="0"/>
      <w:outlineLvl w:val="9"/>
    </w:pPr>
    <w:rPr>
      <w:sz w:val="32"/>
      <w:szCs w:val="32"/>
    </w:rPr>
  </w:style>
  <w:style w:type="paragraph" w:styleId="TOC2">
    <w:name w:val="toc 2"/>
    <w:basedOn w:val="Normal"/>
    <w:next w:val="Normal"/>
    <w:autoRedefine/>
    <w:uiPriority w:val="39"/>
    <w:unhideWhenUsed/>
    <w:rsid w:val="00127EBA"/>
    <w:pPr>
      <w:spacing w:after="100"/>
      <w:ind w:left="220"/>
    </w:pPr>
    <w:rPr>
      <w:rFonts w:asciiTheme="minorHAnsi" w:eastAsiaTheme="minorEastAsia" w:hAnsiTheme="minorHAnsi" w:cs="Times New Roman"/>
      <w:sz w:val="22"/>
      <w:szCs w:val="22"/>
    </w:rPr>
  </w:style>
  <w:style w:type="paragraph" w:styleId="TOC1">
    <w:name w:val="toc 1"/>
    <w:basedOn w:val="Normal"/>
    <w:next w:val="Normal"/>
    <w:autoRedefine/>
    <w:uiPriority w:val="39"/>
    <w:unhideWhenUsed/>
    <w:rsid w:val="00127EBA"/>
    <w:pPr>
      <w:spacing w:after="100"/>
    </w:pPr>
    <w:rPr>
      <w:rFonts w:asciiTheme="minorHAnsi" w:eastAsiaTheme="minorEastAsia" w:hAnsiTheme="minorHAnsi" w:cs="Times New Roman"/>
      <w:sz w:val="22"/>
      <w:szCs w:val="22"/>
    </w:rPr>
  </w:style>
  <w:style w:type="paragraph" w:styleId="TOC3">
    <w:name w:val="toc 3"/>
    <w:basedOn w:val="Normal"/>
    <w:next w:val="Normal"/>
    <w:autoRedefine/>
    <w:uiPriority w:val="39"/>
    <w:unhideWhenUsed/>
    <w:rsid w:val="00127EBA"/>
    <w:pPr>
      <w:spacing w:after="100"/>
      <w:ind w:left="440"/>
    </w:pPr>
    <w:rPr>
      <w:rFonts w:asciiTheme="minorHAnsi" w:eastAsiaTheme="minorEastAsia" w:hAnsiTheme="minorHAns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ink/ink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ustomXml" Target="ink/ink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5T14:56:05.011"/>
    </inkml:context>
    <inkml:brush xml:id="br0">
      <inkml:brushProperty name="width" value="0.35" units="cm"/>
      <inkml:brushProperty name="height" value="2.1" units="cm"/>
      <inkml:brushProperty name="color" value="#FFFFFF"/>
      <inkml:brushProperty name="ignorePressure" value="1"/>
      <inkml:brushProperty name="inkEffects" value="pencil"/>
    </inkml:brush>
  </inkml:definitions>
  <inkml:trace contextRef="#ctx0" brushRef="#br0">0 0,'0'5,"5"1,1 4,4 0,5 0,0 1,2-1,2-2,3-2,2-3,2-1,0-1,1-2,0 1,-1 0,1-1,0 1,0 0,-1-1,-4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5T14:55:54.878"/>
    </inkml:context>
    <inkml:brush xml:id="br0">
      <inkml:brushProperty name="width" value="0.35" units="cm"/>
      <inkml:brushProperty name="height" value="2.1" units="cm"/>
      <inkml:brushProperty name="color" value="#FFFFFF"/>
      <inkml:brushProperty name="ignorePressure" value="1"/>
      <inkml:brushProperty name="inkEffects" value="pencil"/>
    </inkml:brush>
  </inkml:definitions>
  <inkml:trace contextRef="#ctx0" brushRef="#br0">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15T14:55:22.261"/>
    </inkml:context>
    <inkml:brush xml:id="br0">
      <inkml:brushProperty name="width" value="0.35" units="cm"/>
      <inkml:brushProperty name="height" value="0.35" units="cm"/>
      <inkml:brushProperty name="color" value="#FFFFFF"/>
    </inkml:brush>
  </inkml:definitions>
  <inkml:trace contextRef="#ctx0" brushRef="#br0">0 0 24439,'2090'159'0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VGAhRPToJRp9676LQfQc1cLX4g==">CgMxLjAaKQoBMBIkCiIIB0IeChFMaWJyZSBCYXNrZXJ2aWxsZRIJTm92YSBNb25vGikKATESJAoiCAdCHgoRTGlicmUgQmFza2VydmlsbGUSCU5vdmEgTW9ubzgAciExa2FFbk1JNm5yT2kxOUM4VVJfYmZqUmZhNW5iaV9yb3A=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3</Pages>
  <Words>784</Words>
  <Characters>4473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Putnam County Museum</dc:creator>
  <cp:lastModifiedBy>Putnam County Museum</cp:lastModifiedBy>
  <cp:revision>4</cp:revision>
  <cp:lastPrinted>2025-01-14T18:23:00Z</cp:lastPrinted>
  <dcterms:created xsi:type="dcterms:W3CDTF">2024-12-12T18:03:00Z</dcterms:created>
  <dcterms:modified xsi:type="dcterms:W3CDTF">2025-01-15T15:01:00Z</dcterms:modified>
</cp:coreProperties>
</file>